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109</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320424</w:t>
      </w:r>
    </w:p>
    <w:p>
      <w:pPr>
        <w:tabs>
          <w:tab w:val="left" w:pos="3106"/>
          <w:tab w:val="center" w:pos="4536"/>
          <w:tab w:val="right" w:pos="9072"/>
        </w:tabs>
        <w:jc w:val="both"/>
        <w:rPr>
          <w:rFonts w:ascii="Arial" w:hAnsi="Arial" w:eastAsia="宋体"/>
          <w:b/>
          <w:color w:val="auto"/>
          <w:sz w:val="24"/>
          <w:lang w:val="en-GB" w:eastAsia="zh-CN"/>
        </w:rPr>
      </w:pPr>
      <w:r>
        <w:rPr>
          <w:rFonts w:ascii="Arial" w:hAnsi="Arial" w:eastAsia="宋体" w:cs="Arial"/>
          <w:b/>
          <w:sz w:val="24"/>
          <w:szCs w:val="24"/>
          <w:lang w:eastAsia="zh-CN"/>
        </w:rPr>
        <w:t>Chicago, US</w:t>
      </w:r>
      <w:r>
        <w:rPr>
          <w:rFonts w:hint="eastAsia" w:ascii="Arial" w:hAnsi="Arial" w:eastAsia="宋体" w:cs="Arial"/>
          <w:b/>
          <w:sz w:val="24"/>
          <w:szCs w:val="24"/>
          <w:highlight w:val="none"/>
          <w:lang w:val="en-US" w:eastAsia="zh-CN"/>
        </w:rPr>
        <w:t>, Nov 13–17</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general aspects on RRM core requirements for simultaneous DL reception from different directions</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8.7.2.1</w:t>
      </w:r>
      <w:bookmarkStart w:id="0" w:name="_GoBack"/>
      <w:bookmarkEnd w:id="0"/>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In last RAN4 meeting, RAN4 has spread extensive discussion around the applicability conditions and UE capabilities of simultaneous multi-panel/multi-beam reception and some agreements were achieved in [1].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outlineLvl w:val="3"/>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 xml:space="preserve">Issue 1-4-3: UE capability of </w:t>
            </w:r>
            <w:r>
              <w:rPr>
                <w:b/>
                <w:i/>
                <w:iCs/>
                <w:color w:val="000000" w:themeColor="text1"/>
                <w:u w:val="single"/>
                <w:lang w:eastAsia="ko-KR"/>
                <w14:textFill>
                  <w14:solidFill>
                    <w14:schemeClr w14:val="tx1"/>
                  </w14:solidFill>
                </w14:textFill>
              </w:rPr>
              <w:t>simultaneousRxDataSSB-DiffNumerology</w:t>
            </w:r>
          </w:p>
          <w:p>
            <w:pPr>
              <w:rPr>
                <w:color w:val="000000" w:themeColor="text1"/>
                <w:szCs w:val="24"/>
                <w:lang w:eastAsia="zh-CN"/>
                <w14:textFill>
                  <w14:solidFill>
                    <w14:schemeClr w14:val="tx1"/>
                  </w14:solidFill>
                </w14:textFill>
              </w:rPr>
            </w:pPr>
            <w:r>
              <w:rPr>
                <w:color w:val="0070C0"/>
              </w:rPr>
              <w:t>&lt;Online agreement&gt;</w:t>
            </w:r>
          </w:p>
          <w:p>
            <w:pPr>
              <w:pStyle w:val="28"/>
              <w:numPr>
                <w:ilvl w:val="0"/>
                <w:numId w:val="3"/>
              </w:numPr>
              <w:overflowPunct/>
              <w:autoSpaceDE/>
              <w:autoSpaceDN/>
              <w:adjustRightInd/>
              <w:spacing w:after="120"/>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It is RAN4 common understanding that there is no scenario of simultaneous reception of mix numerologies for: SSB (TRP1) + data (TRP2), and for SSB (TRP1) + CSI-RS (TRP2) in Rel-18.</w:t>
            </w:r>
          </w:p>
          <w:p>
            <w:pPr>
              <w:pStyle w:val="28"/>
              <w:numPr>
                <w:ilvl w:val="0"/>
                <w:numId w:val="3"/>
              </w:numPr>
              <w:overflowPunct/>
              <w:autoSpaceDE/>
              <w:autoSpaceDN/>
              <w:adjustRightInd/>
              <w:spacing w:after="120"/>
              <w:ind w:left="720" w:firstLineChars="0"/>
              <w:textAlignment w:val="auto"/>
              <w:rPr>
                <w:rFonts w:hint="default" w:ascii="Times New Roman" w:hAnsi="Times New Roman" w:eastAsia="Times New Roman" w:cs="Times New Roman"/>
                <w:bCs/>
                <w:kern w:val="0"/>
                <w:sz w:val="20"/>
                <w:szCs w:val="24"/>
                <w:lang w:val="en-US" w:eastAsia="zh-CN" w:bidi="ar-SA"/>
              </w:rPr>
            </w:pPr>
            <w:r>
              <w:rPr>
                <w:rFonts w:eastAsia="宋体"/>
                <w:color w:val="000000" w:themeColor="text1"/>
                <w:szCs w:val="24"/>
                <w:lang w:eastAsia="zh-CN"/>
                <w14:textFill>
                  <w14:solidFill>
                    <w14:schemeClr w14:val="tx1"/>
                  </w14:solidFill>
                </w14:textFill>
              </w:rPr>
              <w:t>No new UE capability for mix numerologies is needed in Rel-18</w:t>
            </w:r>
          </w:p>
        </w:tc>
      </w:tr>
    </w:tbl>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In this document, we provide our further analysis focus on the remaining general issues around simultaneous multi-panel reception.</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3"/>
        <w:bidi w:val="0"/>
        <w:rPr>
          <w:rFonts w:hint="eastAsia"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2.</w:t>
      </w:r>
      <w:r>
        <w:rPr>
          <w:rFonts w:hint="eastAsia" w:eastAsia="宋体" w:cs="Times New Roman"/>
          <w:b/>
          <w:bCs/>
          <w:iCs w:val="0"/>
          <w:color w:val="auto"/>
          <w:kern w:val="32"/>
          <w:sz w:val="28"/>
          <w:szCs w:val="32"/>
          <w:lang w:val="en-US" w:eastAsia="zh-CN" w:bidi="ar-SA"/>
        </w:rPr>
        <w:t>1</w:t>
      </w:r>
      <w:r>
        <w:rPr>
          <w:rFonts w:hint="eastAsia" w:ascii="Helvetica" w:hAnsi="Helvetica" w:eastAsia="宋体" w:cs="Times New Roman"/>
          <w:b/>
          <w:bCs/>
          <w:iCs w:val="0"/>
          <w:color w:val="auto"/>
          <w:kern w:val="32"/>
          <w:sz w:val="28"/>
          <w:szCs w:val="32"/>
          <w:lang w:val="en-US" w:eastAsia="zh-CN" w:bidi="ar-SA"/>
        </w:rPr>
        <w:t xml:space="preserve"> </w:t>
      </w:r>
      <w:r>
        <w:rPr>
          <w:rFonts w:hint="eastAsia" w:eastAsia="宋体" w:cs="Times New Roman"/>
          <w:b/>
          <w:bCs/>
          <w:iCs w:val="0"/>
          <w:color w:val="auto"/>
          <w:kern w:val="32"/>
          <w:sz w:val="28"/>
          <w:szCs w:val="32"/>
          <w:lang w:val="en-US" w:eastAsia="zh-CN" w:bidi="ar-SA"/>
        </w:rPr>
        <w:t>Applicability and conditions</w:t>
      </w:r>
    </w:p>
    <w:p>
      <w:pPr>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UE behaviour when a condition becomes violated during a measurement</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The issue of UE behavior when the condition of multi-Rx becomes violated during a measurement was warmly discussed in last meeting. Whether to define particular UE behavior when such case happens is still FFS. Several options were concluded after the discussion:</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numPr>
                <w:ilvl w:val="0"/>
                <w:numId w:val="3"/>
              </w:numPr>
              <w:kinsoku/>
              <w:wordWrap/>
              <w:overflowPunct w:val="0"/>
              <w:topLinePunct w:val="0"/>
              <w:autoSpaceDE w:val="0"/>
              <w:autoSpaceDN w:val="0"/>
              <w:bidi w:val="0"/>
              <w:adjustRightInd w:val="0"/>
              <w:snapToGrid/>
              <w:ind w:left="1020" w:leftChars="0" w:hanging="363"/>
              <w:textAlignment w:val="baseline"/>
              <w:rPr>
                <w:color w:val="000000"/>
              </w:rPr>
            </w:pPr>
            <w:r>
              <w:rPr>
                <w:color w:val="000000"/>
              </w:rPr>
              <w:t xml:space="preserve">Option A: When the side conditions are violated, the corresponding requirement is </w:t>
            </w:r>
            <w:r>
              <w:t xml:space="preserve">not applicable, and/or no UE behavior needs </w:t>
            </w:r>
            <w:r>
              <w:rPr>
                <w:color w:val="000000"/>
              </w:rPr>
              <w:t>to be defined.</w:t>
            </w:r>
          </w:p>
          <w:p>
            <w:pPr>
              <w:pStyle w:val="58"/>
              <w:keepNext w:val="0"/>
              <w:keepLines w:val="0"/>
              <w:pageBreakBefore w:val="0"/>
              <w:kinsoku/>
              <w:wordWrap/>
              <w:topLinePunct w:val="0"/>
              <w:bidi w:val="0"/>
              <w:snapToGrid/>
              <w:spacing w:after="0"/>
              <w:ind w:left="1656" w:leftChars="0" w:hanging="363" w:firstLineChars="0"/>
            </w:pPr>
            <w:r>
              <w:t>Alternative wording for option A: When the side conditions are changed with a transition between multi-Rx operation and no multi-Rx operation, the corresponding requirement is not applicable, and/or no UE behavior needs to be defined.</w:t>
            </w:r>
          </w:p>
          <w:p>
            <w:pPr>
              <w:pStyle w:val="58"/>
              <w:keepNext w:val="0"/>
              <w:keepLines w:val="0"/>
              <w:pageBreakBefore w:val="0"/>
              <w:kinsoku/>
              <w:wordWrap/>
              <w:topLinePunct w:val="0"/>
              <w:bidi w:val="0"/>
              <w:snapToGrid/>
              <w:spacing w:after="0"/>
              <w:ind w:left="1656" w:leftChars="0" w:hanging="363" w:firstLineChars="0"/>
            </w:pPr>
            <w:r>
              <w:rPr>
                <w:rFonts w:hint="eastAsia"/>
              </w:rPr>
              <w:t>T</w:t>
            </w:r>
            <w:r>
              <w:t>he side conditions are discussed separately for each topic.</w:t>
            </w:r>
          </w:p>
          <w:p>
            <w:pPr>
              <w:keepNext w:val="0"/>
              <w:keepLines w:val="0"/>
              <w:pageBreakBefore w:val="0"/>
              <w:numPr>
                <w:ilvl w:val="0"/>
                <w:numId w:val="3"/>
              </w:numPr>
              <w:kinsoku/>
              <w:wordWrap/>
              <w:overflowPunct w:val="0"/>
              <w:topLinePunct w:val="0"/>
              <w:autoSpaceDE w:val="0"/>
              <w:autoSpaceDN w:val="0"/>
              <w:bidi w:val="0"/>
              <w:adjustRightInd w:val="0"/>
              <w:snapToGrid/>
              <w:ind w:left="1020" w:leftChars="0" w:hanging="363"/>
              <w:textAlignment w:val="baseline"/>
              <w:rPr>
                <w:color w:val="000000"/>
              </w:rPr>
            </w:pPr>
            <w:r>
              <w:rPr>
                <w:color w:val="000000"/>
              </w:rPr>
              <w:t xml:space="preserve">Option B: UE beviour needs to be speficied. </w:t>
            </w:r>
          </w:p>
          <w:p>
            <w:pPr>
              <w:pStyle w:val="58"/>
              <w:keepNext w:val="0"/>
              <w:keepLines w:val="0"/>
              <w:pageBreakBefore w:val="0"/>
              <w:kinsoku/>
              <w:wordWrap/>
              <w:topLinePunct w:val="0"/>
              <w:bidi w:val="0"/>
              <w:snapToGrid/>
              <w:spacing w:after="0"/>
              <w:ind w:left="1656" w:leftChars="0" w:hanging="363" w:firstLineChars="0"/>
            </w:pPr>
            <w:r>
              <w:rPr>
                <w:rFonts w:hint="eastAsia"/>
              </w:rPr>
              <w:t>O</w:t>
            </w:r>
            <w:r>
              <w:t>ption B1:</w:t>
            </w:r>
          </w:p>
          <w:p>
            <w:pPr>
              <w:keepNext w:val="0"/>
              <w:keepLines w:val="0"/>
              <w:pageBreakBefore w:val="0"/>
              <w:numPr>
                <w:ilvl w:val="2"/>
                <w:numId w:val="3"/>
              </w:numPr>
              <w:kinsoku/>
              <w:wordWrap/>
              <w:overflowPunct w:val="0"/>
              <w:topLinePunct w:val="0"/>
              <w:autoSpaceDE w:val="0"/>
              <w:autoSpaceDN w:val="0"/>
              <w:bidi w:val="0"/>
              <w:adjustRightInd w:val="0"/>
              <w:snapToGrid/>
              <w:ind w:left="2376" w:leftChars="0" w:hanging="363" w:firstLineChars="0"/>
              <w:textAlignment w:val="baseline"/>
            </w:pPr>
            <w:r>
              <w:t>When the condition of multi-Rx becomes violated during measurement, UE can continue the on-going L1 measurement but with the relaxed measurement period requirement instead of the requirement for simultaneous reception.</w:t>
            </w:r>
          </w:p>
          <w:p>
            <w:pPr>
              <w:pStyle w:val="58"/>
              <w:keepNext w:val="0"/>
              <w:keepLines w:val="0"/>
              <w:pageBreakBefore w:val="0"/>
              <w:kinsoku/>
              <w:wordWrap/>
              <w:topLinePunct w:val="0"/>
              <w:bidi w:val="0"/>
              <w:snapToGrid/>
              <w:spacing w:after="0"/>
              <w:ind w:left="1656" w:leftChars="0" w:hanging="363" w:firstLineChars="0"/>
            </w:pPr>
            <w:r>
              <w:t>Option B2:</w:t>
            </w:r>
          </w:p>
          <w:p>
            <w:pPr>
              <w:keepNext w:val="0"/>
              <w:keepLines w:val="0"/>
              <w:pageBreakBefore w:val="0"/>
              <w:numPr>
                <w:ilvl w:val="2"/>
                <w:numId w:val="3"/>
              </w:numPr>
              <w:kinsoku/>
              <w:wordWrap/>
              <w:overflowPunct w:val="0"/>
              <w:topLinePunct w:val="0"/>
              <w:autoSpaceDE w:val="0"/>
              <w:autoSpaceDN w:val="0"/>
              <w:bidi w:val="0"/>
              <w:adjustRightInd w:val="0"/>
              <w:snapToGrid/>
              <w:ind w:left="2376" w:leftChars="0" w:hanging="363" w:firstLineChars="0"/>
              <w:textAlignment w:val="baseline"/>
              <w:rPr>
                <w:rFonts w:eastAsia="MS Mincho"/>
              </w:rPr>
            </w:pPr>
            <w:r>
              <w:t>UE in multi-rx operation may need to stop and restart (in new conditions) L1 measurements or evaluations, when at least the following conditions for multi-rx operation become violated:</w:t>
            </w:r>
          </w:p>
          <w:p>
            <w:pPr>
              <w:keepNext w:val="0"/>
              <w:keepLines w:val="0"/>
              <w:pageBreakBefore w:val="0"/>
              <w:numPr>
                <w:ilvl w:val="3"/>
                <w:numId w:val="3"/>
              </w:numPr>
              <w:kinsoku/>
              <w:wordWrap/>
              <w:overflowPunct w:val="0"/>
              <w:topLinePunct w:val="0"/>
              <w:autoSpaceDE w:val="0"/>
              <w:autoSpaceDN w:val="0"/>
              <w:bidi w:val="0"/>
              <w:adjustRightInd w:val="0"/>
              <w:snapToGrid/>
              <w:ind w:left="3096" w:leftChars="0" w:hanging="363" w:firstLineChars="0"/>
              <w:textAlignment w:val="baseline"/>
            </w:pPr>
            <w:r>
              <w:t>A completely new dual TCI configuration (e.g., dual TCI swapped to another dual TCI where both active states are new).</w:t>
            </w:r>
          </w:p>
          <w:p>
            <w:pPr>
              <w:keepNext w:val="0"/>
              <w:keepLines w:val="0"/>
              <w:pageBreakBefore w:val="0"/>
              <w:numPr>
                <w:ilvl w:val="2"/>
                <w:numId w:val="3"/>
              </w:numPr>
              <w:kinsoku/>
              <w:wordWrap/>
              <w:overflowPunct w:val="0"/>
              <w:topLinePunct w:val="0"/>
              <w:autoSpaceDE w:val="0"/>
              <w:autoSpaceDN w:val="0"/>
              <w:bidi w:val="0"/>
              <w:adjustRightInd w:val="0"/>
              <w:snapToGrid/>
              <w:ind w:left="2376" w:leftChars="0" w:hanging="363" w:firstLineChars="0"/>
              <w:textAlignment w:val="baseline"/>
            </w:pPr>
            <w:r>
              <w:t>UE in multi-rx operation may need to continue L1 measurements or evaluations (using a single panel), but more relaxed requirements will apply for such measurements/evaluations, when any of the following conditions for multi-rx operation become violated:</w:t>
            </w:r>
          </w:p>
          <w:p>
            <w:pPr>
              <w:keepNext w:val="0"/>
              <w:keepLines w:val="0"/>
              <w:pageBreakBefore w:val="0"/>
              <w:numPr>
                <w:ilvl w:val="3"/>
                <w:numId w:val="3"/>
              </w:numPr>
              <w:kinsoku/>
              <w:wordWrap/>
              <w:overflowPunct w:val="0"/>
              <w:topLinePunct w:val="0"/>
              <w:autoSpaceDE w:val="0"/>
              <w:autoSpaceDN w:val="0"/>
              <w:bidi w:val="0"/>
              <w:adjustRightInd w:val="0"/>
              <w:snapToGrid/>
              <w:ind w:left="3096" w:leftChars="0" w:hanging="363" w:firstLineChars="0"/>
              <w:textAlignment w:val="baseline"/>
            </w:pPr>
            <w:r>
              <w:t>Partially new dual TCI configuration (e.g., one active TCI state remains the same),</w:t>
            </w:r>
          </w:p>
          <w:p>
            <w:pPr>
              <w:keepNext w:val="0"/>
              <w:keepLines w:val="0"/>
              <w:pageBreakBefore w:val="0"/>
              <w:numPr>
                <w:ilvl w:val="3"/>
                <w:numId w:val="3"/>
              </w:numPr>
              <w:kinsoku/>
              <w:wordWrap/>
              <w:overflowPunct w:val="0"/>
              <w:topLinePunct w:val="0"/>
              <w:autoSpaceDE w:val="0"/>
              <w:autoSpaceDN w:val="0"/>
              <w:bidi w:val="0"/>
              <w:adjustRightInd w:val="0"/>
              <w:snapToGrid/>
              <w:ind w:left="3096" w:leftChars="0" w:hanging="363" w:firstLineChars="0"/>
              <w:textAlignment w:val="baseline"/>
            </w:pPr>
            <w:r>
              <w:t>Different QCL type D condition is not valid, etc.</w:t>
            </w:r>
          </w:p>
          <w:p>
            <w:pPr>
              <w:keepNext w:val="0"/>
              <w:keepLines w:val="0"/>
              <w:pageBreakBefore w:val="0"/>
              <w:numPr>
                <w:ilvl w:val="2"/>
                <w:numId w:val="3"/>
              </w:numPr>
              <w:kinsoku/>
              <w:wordWrap/>
              <w:overflowPunct w:val="0"/>
              <w:topLinePunct w:val="0"/>
              <w:autoSpaceDE w:val="0"/>
              <w:autoSpaceDN w:val="0"/>
              <w:bidi w:val="0"/>
              <w:adjustRightInd w:val="0"/>
              <w:snapToGrid/>
              <w:ind w:left="2376" w:leftChars="0" w:hanging="363" w:firstLineChars="0"/>
              <w:textAlignment w:val="baseline"/>
            </w:pPr>
            <w:r>
              <w:t>RAN4 to discuss whether there are scenarios when a UE in multi-rx operation may need to complete L1 measurements or evaluations in multi-rx operation prior to switching to single-rx operation, e.g.:</w:t>
            </w:r>
          </w:p>
          <w:p>
            <w:pPr>
              <w:keepNext w:val="0"/>
              <w:keepLines w:val="0"/>
              <w:pageBreakBefore w:val="0"/>
              <w:numPr>
                <w:ilvl w:val="3"/>
                <w:numId w:val="3"/>
              </w:numPr>
              <w:kinsoku/>
              <w:wordWrap/>
              <w:overflowPunct w:val="0"/>
              <w:topLinePunct w:val="0"/>
              <w:autoSpaceDE w:val="0"/>
              <w:autoSpaceDN w:val="0"/>
              <w:bidi w:val="0"/>
              <w:adjustRightInd w:val="0"/>
              <w:snapToGrid/>
              <w:ind w:left="3096" w:leftChars="0" w:hanging="363" w:firstLineChars="0"/>
              <w:textAlignment w:val="baseline"/>
              <w:rPr>
                <w:rFonts w:hint="default" w:eastAsia="宋体"/>
                <w:color w:val="auto"/>
                <w:sz w:val="20"/>
                <w:szCs w:val="20"/>
                <w:vertAlign w:val="baseline"/>
                <w:lang w:val="en-US" w:eastAsia="zh-CN"/>
              </w:rPr>
            </w:pPr>
            <w:r>
              <w:rPr>
                <w:rFonts w:ascii="Times New Roman" w:hAnsi="Times New Roman" w:eastAsia="Times New Roman" w:cs="Times New Roman"/>
                <w:szCs w:val="24"/>
                <w:lang w:val="en-US" w:eastAsia="en-US" w:bidi="ar-SA"/>
              </w:rPr>
              <w:t>UE becomes configured with CA operation or with some other operation suggesting single-rx operation.</w:t>
            </w:r>
          </w:p>
        </w:tc>
      </w:tr>
    </w:tbl>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default" w:eastAsia="宋体"/>
          <w:color w:val="auto"/>
          <w:sz w:val="20"/>
          <w:szCs w:val="20"/>
          <w:lang w:val="en-US" w:eastAsia="zh-CN"/>
        </w:rPr>
        <w:t>The enhancement of multi-Rx operation is reflected in</w:t>
      </w:r>
      <w:r>
        <w:rPr>
          <w:rFonts w:hint="eastAsia" w:eastAsia="宋体"/>
          <w:color w:val="auto"/>
          <w:sz w:val="20"/>
          <w:szCs w:val="20"/>
          <w:lang w:val="en-US" w:eastAsia="zh-CN"/>
        </w:rPr>
        <w:t>to</w:t>
      </w:r>
      <w:r>
        <w:rPr>
          <w:rFonts w:hint="default" w:eastAsia="宋体"/>
          <w:color w:val="auto"/>
          <w:sz w:val="20"/>
          <w:szCs w:val="20"/>
          <w:lang w:val="en-US" w:eastAsia="zh-CN"/>
        </w:rPr>
        <w:t xml:space="preserve"> two aspects: 1) fast beam sweeping</w:t>
      </w:r>
      <w:r>
        <w:rPr>
          <w:rFonts w:hint="eastAsia" w:eastAsia="宋体"/>
          <w:color w:val="auto"/>
          <w:sz w:val="20"/>
          <w:szCs w:val="20"/>
          <w:lang w:val="en-US" w:eastAsia="zh-CN"/>
        </w:rPr>
        <w:t xml:space="preserve">; </w:t>
      </w:r>
      <w:r>
        <w:rPr>
          <w:rFonts w:hint="default" w:eastAsia="宋体"/>
          <w:color w:val="auto"/>
          <w:sz w:val="20"/>
          <w:szCs w:val="20"/>
          <w:lang w:val="en-US" w:eastAsia="zh-CN"/>
        </w:rPr>
        <w:t>2) measurement</w:t>
      </w:r>
      <w:r>
        <w:rPr>
          <w:rFonts w:hint="eastAsia" w:eastAsia="宋体"/>
          <w:color w:val="auto"/>
          <w:sz w:val="20"/>
          <w:szCs w:val="20"/>
          <w:lang w:val="en-US" w:eastAsia="zh-CN"/>
        </w:rPr>
        <w:t>/scheduling</w:t>
      </w:r>
      <w:r>
        <w:rPr>
          <w:rFonts w:hint="default" w:eastAsia="宋体"/>
          <w:color w:val="auto"/>
          <w:sz w:val="20"/>
          <w:szCs w:val="20"/>
          <w:lang w:val="en-US" w:eastAsia="zh-CN"/>
        </w:rPr>
        <w:t xml:space="preserve"> restriction relaxation. For 2), it can only be supported under the multi-Rx operation. So if the condition is violated, then the measurement</w:t>
      </w:r>
      <w:r>
        <w:rPr>
          <w:rFonts w:hint="eastAsia" w:eastAsia="宋体"/>
          <w:color w:val="auto"/>
          <w:sz w:val="20"/>
          <w:szCs w:val="20"/>
          <w:lang w:val="en-US" w:eastAsia="zh-CN"/>
        </w:rPr>
        <w:t>/scheduling</w:t>
      </w:r>
      <w:r>
        <w:rPr>
          <w:rFonts w:hint="default" w:eastAsia="宋体"/>
          <w:color w:val="auto"/>
          <w:sz w:val="20"/>
          <w:szCs w:val="20"/>
          <w:lang w:val="en-US" w:eastAsia="zh-CN"/>
        </w:rPr>
        <w:t xml:space="preserve"> restriction relaxation can not support any more. While for 1), until right now, RAN4 does not conclude any decision on the condition of fast beam sweeping. Whether the multi-Rx operation is the prerequisite of faster beam sweeping, we believe it needs to be discussed. </w:t>
      </w:r>
      <w:r>
        <w:rPr>
          <w:rFonts w:hint="eastAsia" w:eastAsia="宋体"/>
          <w:color w:val="auto"/>
          <w:sz w:val="20"/>
          <w:szCs w:val="20"/>
          <w:lang w:val="en-US" w:eastAsia="zh-CN"/>
        </w:rPr>
        <w:t>Based on our analysis in our another paper, the situation for multiple alternatives of fast beam sweeping are different. Until companies reach consensus on the implementation assumption and condition of fast beam sweeping, then the decision of whether the violation of condition would impact the requirements can be identified.</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The requirement of L1 measurement period is still suspending, whether fast beam sweeping can be considered during the L1 measurement, which should be decided in this meeting. When the condition of multi-Rx becomes violated during measurement, at least UE can continue the on-going L1 measurement. </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 xml:space="preserve">Proposal 1: When the condition of multi-Rx becomes violated during measurement, at least UE can continue the on-going L1 measurement. </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When the condition of multi-Rx becomes violated during measurement, the measurement/scheduling restriction relaxation is not allowed any more.</w:t>
      </w:r>
    </w:p>
    <w:p>
      <w:pPr>
        <w:pStyle w:val="8"/>
        <w:tabs>
          <w:tab w:val="left" w:pos="226"/>
          <w:tab w:val="left" w:pos="284"/>
          <w:tab w:val="left" w:pos="5103"/>
        </w:tabs>
        <w:snapToGrid w:val="0"/>
        <w:spacing w:before="156" w:beforeLines="50"/>
        <w:rPr>
          <w:rFonts w:hint="default"/>
          <w:b/>
          <w:color w:val="000000" w:themeColor="text1"/>
          <w:u w:val="single"/>
          <w:lang w:val="en-US" w:eastAsia="zh-CN"/>
          <w14:textFill>
            <w14:solidFill>
              <w14:schemeClr w14:val="tx1"/>
            </w14:solidFill>
          </w14:textFill>
        </w:rPr>
      </w:pPr>
      <w:r>
        <w:rPr>
          <w:rFonts w:hint="eastAsia" w:eastAsia="宋体" w:cs="Times New Roman"/>
          <w:b/>
          <w:bCs/>
          <w:color w:val="auto"/>
          <w:sz w:val="20"/>
          <w:szCs w:val="20"/>
          <w:highlight w:val="none"/>
          <w:lang w:val="en-US" w:eastAsia="zh-CN" w:bidi="ar-SA"/>
        </w:rPr>
        <w:t>Proposal 3: When the condition of multi-Rx becomes violated during measurement, whether the requirements of L1 measurement period should be relaxed, depending on the final identified L1 measurement period requirements. If fast beam sweeping is applied during L1 measurement, then the condition and implementation of fast beam sweeping would impact the decision.</w:t>
      </w:r>
    </w:p>
    <w:p>
      <w:pPr>
        <w:pStyle w:val="3"/>
        <w:bidi w:val="0"/>
        <w:rPr>
          <w:rFonts w:hint="default"/>
          <w:lang w:val="en-US" w:eastAsia="zh-CN"/>
        </w:rPr>
      </w:pPr>
      <w:r>
        <w:rPr>
          <w:rFonts w:hint="eastAsia" w:ascii="Helvetica" w:hAnsi="Helvetica" w:eastAsia="宋体" w:cs="Times New Roman"/>
          <w:b/>
          <w:bCs/>
          <w:iCs w:val="0"/>
          <w:color w:val="auto"/>
          <w:kern w:val="32"/>
          <w:sz w:val="28"/>
          <w:szCs w:val="32"/>
          <w:lang w:val="en-US" w:eastAsia="zh-CN" w:bidi="ar-SA"/>
        </w:rPr>
        <w:t>2.</w:t>
      </w:r>
      <w:r>
        <w:rPr>
          <w:rFonts w:hint="eastAsia" w:eastAsia="宋体" w:cs="Times New Roman"/>
          <w:b/>
          <w:bCs/>
          <w:iCs w:val="0"/>
          <w:color w:val="auto"/>
          <w:kern w:val="32"/>
          <w:sz w:val="28"/>
          <w:szCs w:val="32"/>
          <w:lang w:val="en-US" w:eastAsia="zh-CN" w:bidi="ar-SA"/>
        </w:rPr>
        <w:t>2</w:t>
      </w:r>
      <w:r>
        <w:rPr>
          <w:rFonts w:hint="eastAsia" w:ascii="Helvetica" w:hAnsi="Helvetica" w:eastAsia="宋体" w:cs="Times New Roman"/>
          <w:b/>
          <w:bCs/>
          <w:iCs w:val="0"/>
          <w:color w:val="auto"/>
          <w:kern w:val="32"/>
          <w:sz w:val="28"/>
          <w:szCs w:val="32"/>
          <w:lang w:val="en-US" w:eastAsia="zh-CN" w:bidi="ar-SA"/>
        </w:rPr>
        <w:t xml:space="preserve"> </w:t>
      </w:r>
      <w:r>
        <w:rPr>
          <w:rFonts w:hint="eastAsia" w:eastAsia="宋体" w:cs="Times New Roman"/>
          <w:b/>
          <w:bCs/>
          <w:iCs w:val="0"/>
          <w:color w:val="auto"/>
          <w:kern w:val="32"/>
          <w:sz w:val="28"/>
          <w:szCs w:val="32"/>
          <w:lang w:val="en-US" w:eastAsia="zh-CN" w:bidi="ar-SA"/>
        </w:rPr>
        <w:t>UE capabilities</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The related UE capabilities has less opportunity to be discussed online during previous meetings since of too much issues involved in this WI. Until right now, in terms of UE capabilities, only the following agreements were achieved in [2]. We provide our further analysis on the UE capabilities.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val="0"/>
              <w:kinsoku/>
              <w:wordWrap/>
              <w:overflowPunct/>
              <w:topLinePunct w:val="0"/>
              <w:autoSpaceDE/>
              <w:autoSpaceDN/>
              <w:bidi w:val="0"/>
              <w:adjustRightInd/>
              <w:snapToGrid/>
              <w:spacing w:after="0" w:line="240" w:lineRule="auto"/>
              <w:textAlignment w:val="auto"/>
              <w:rPr>
                <w:rFonts w:eastAsiaTheme="minorEastAsia"/>
                <w:i/>
                <w:color w:val="auto"/>
                <w:lang w:eastAsia="zh-CN"/>
              </w:rPr>
            </w:pPr>
            <w:r>
              <w:rPr>
                <w:b/>
                <w:bCs/>
                <w:color w:val="auto"/>
                <w:szCs w:val="24"/>
                <w:lang w:eastAsia="zh-CN"/>
              </w:rPr>
              <w:t>&lt;</w:t>
            </w:r>
            <w:r>
              <w:rPr>
                <w:b/>
                <w:bCs/>
                <w:color w:val="auto"/>
                <w:szCs w:val="24"/>
                <w:highlight w:val="green"/>
                <w:lang w:eastAsia="zh-CN"/>
              </w:rPr>
              <w:t xml:space="preserve">Agreement </w:t>
            </w:r>
            <w:r>
              <w:rPr>
                <w:b/>
                <w:bCs/>
                <w:color w:val="auto"/>
                <w:szCs w:val="24"/>
                <w:lang w:eastAsia="zh-CN"/>
              </w:rPr>
              <w:t>&gt;:</w:t>
            </w:r>
          </w:p>
          <w:p>
            <w:pPr>
              <w:rPr>
                <w:rFonts w:eastAsia="宋体"/>
                <w:color w:val="auto"/>
                <w:szCs w:val="24"/>
                <w:lang w:eastAsia="zh-CN"/>
              </w:rPr>
            </w:pPr>
            <w:r>
              <w:rPr>
                <w:rFonts w:eastAsia="宋体"/>
                <w:color w:val="auto"/>
                <w:szCs w:val="24"/>
                <w:lang w:eastAsia="zh-CN"/>
              </w:rPr>
              <w:t xml:space="preserve">It is RAN4 understanding that the R16 UE capability </w:t>
            </w:r>
            <w:r>
              <w:rPr>
                <w:rFonts w:eastAsia="宋体"/>
                <w:i/>
                <w:color w:val="auto"/>
                <w:szCs w:val="24"/>
                <w:lang w:eastAsia="zh-CN"/>
              </w:rPr>
              <w:t>simultaneousReceptionDiffTypeD</w:t>
            </w:r>
            <w:r>
              <w:rPr>
                <w:rFonts w:eastAsia="宋体"/>
                <w:color w:val="auto"/>
                <w:szCs w:val="24"/>
                <w:lang w:eastAsia="zh-CN"/>
              </w:rPr>
              <w:t xml:space="preserve"> is only applicable for simultaneous PDSCH reception.</w:t>
            </w:r>
          </w:p>
          <w:p>
            <w:pPr>
              <w:keepNext w:val="0"/>
              <w:keepLines w:val="0"/>
              <w:pageBreakBefore w:val="0"/>
              <w:widowControl w:val="0"/>
              <w:kinsoku/>
              <w:wordWrap/>
              <w:overflowPunct/>
              <w:topLinePunct w:val="0"/>
              <w:autoSpaceDE/>
              <w:autoSpaceDN/>
              <w:bidi w:val="0"/>
              <w:adjustRightInd/>
              <w:snapToGrid/>
              <w:spacing w:after="0" w:line="240" w:lineRule="auto"/>
              <w:textAlignment w:val="auto"/>
              <w:rPr>
                <w:rFonts w:eastAsiaTheme="minorEastAsia"/>
                <w:i/>
                <w:color w:val="auto"/>
                <w:lang w:eastAsia="zh-CN"/>
              </w:rPr>
            </w:pPr>
            <w:r>
              <w:rPr>
                <w:b/>
                <w:bCs/>
                <w:color w:val="auto"/>
                <w:szCs w:val="24"/>
                <w:lang w:eastAsia="zh-CN"/>
              </w:rPr>
              <w:t>&lt;</w:t>
            </w:r>
            <w:r>
              <w:rPr>
                <w:b/>
                <w:bCs/>
                <w:color w:val="auto"/>
                <w:szCs w:val="24"/>
                <w:highlight w:val="green"/>
                <w:lang w:eastAsia="zh-CN"/>
              </w:rPr>
              <w:t xml:space="preserve">Agreement </w:t>
            </w:r>
            <w:r>
              <w:rPr>
                <w:b/>
                <w:bCs/>
                <w:color w:val="auto"/>
                <w:szCs w:val="24"/>
                <w:lang w:eastAsia="zh-CN"/>
              </w:rPr>
              <w:t>&gt;:</w:t>
            </w:r>
          </w:p>
          <w:p>
            <w:pPr>
              <w:rPr>
                <w:rFonts w:hint="eastAsia" w:eastAsia="宋体"/>
                <w:color w:val="auto"/>
                <w:sz w:val="20"/>
                <w:szCs w:val="20"/>
                <w:vertAlign w:val="baseline"/>
                <w:lang w:val="en-US" w:eastAsia="zh-CN"/>
              </w:rPr>
            </w:pPr>
            <w:r>
              <w:rPr>
                <w:rFonts w:eastAsia="宋体"/>
                <w:color w:val="auto"/>
                <w:szCs w:val="24"/>
                <w:lang w:eastAsia="zh-CN"/>
              </w:rPr>
              <w:t xml:space="preserve">No need to discuss </w:t>
            </w:r>
            <w:r>
              <w:rPr>
                <w:rFonts w:eastAsia="宋体"/>
                <w:i/>
                <w:color w:val="auto"/>
                <w:szCs w:val="24"/>
                <w:lang w:eastAsia="zh-CN"/>
              </w:rPr>
              <w:t>simultaneousRxDataSSB-DiffNumerology-Inter-r16</w:t>
            </w:r>
            <w:r>
              <w:rPr>
                <w:rFonts w:eastAsia="宋体"/>
                <w:color w:val="auto"/>
                <w:szCs w:val="24"/>
                <w:lang w:eastAsia="zh-CN"/>
              </w:rPr>
              <w:t xml:space="preserve"> in R18 multi-Rx chains WI</w:t>
            </w:r>
          </w:p>
        </w:tc>
      </w:tr>
    </w:tbl>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With respect to the related UE capability for simultaneous multiple panel reception, the existing UE capability </w:t>
      </w:r>
      <w:r>
        <w:rPr>
          <w:rFonts w:eastAsia="宋体"/>
          <w:i/>
          <w:color w:val="000000" w:themeColor="text1"/>
          <w:szCs w:val="24"/>
          <w:lang w:eastAsia="zh-CN"/>
          <w14:textFill>
            <w14:solidFill>
              <w14:schemeClr w14:val="tx1"/>
            </w14:solidFill>
          </w14:textFill>
        </w:rPr>
        <w:t>simultaneousRxDataSSB-DiffNumerology-Inter-r16</w:t>
      </w:r>
      <w:r>
        <w:rPr>
          <w:rFonts w:hint="eastAsia" w:eastAsia="宋体"/>
          <w:color w:val="auto"/>
          <w:sz w:val="20"/>
          <w:szCs w:val="20"/>
          <w:lang w:val="en-US" w:eastAsia="zh-CN"/>
        </w:rPr>
        <w:t xml:space="preserve"> is decided to be precluded from this WI. Furthermore, the existing UE capability </w:t>
      </w:r>
      <w:r>
        <w:rPr>
          <w:rFonts w:eastAsia="宋体"/>
          <w:i/>
          <w:szCs w:val="24"/>
          <w:lang w:eastAsia="zh-CN"/>
        </w:rPr>
        <w:t>simultaneousReceptionDiffTypeD</w:t>
      </w:r>
      <w:r>
        <w:rPr>
          <w:rFonts w:hint="eastAsia" w:eastAsia="宋体"/>
          <w:color w:val="auto"/>
          <w:sz w:val="20"/>
          <w:szCs w:val="20"/>
          <w:lang w:val="en-US" w:eastAsia="zh-CN"/>
        </w:rPr>
        <w:t xml:space="preserve"> is clarified to be only applicable for simultaneous PDSCHs reception. So we can further discuss whether and how to reuse the existing UE capability </w:t>
      </w:r>
      <w:r>
        <w:rPr>
          <w:rFonts w:hint="eastAsia" w:eastAsia="宋体"/>
          <w:i/>
          <w:iCs/>
          <w:color w:val="auto"/>
          <w:sz w:val="20"/>
          <w:szCs w:val="20"/>
          <w:lang w:val="en-US" w:eastAsia="zh-CN"/>
        </w:rPr>
        <w:t xml:space="preserve">simultaneousRxDataSSB-DiffNumerology </w:t>
      </w:r>
      <w:r>
        <w:rPr>
          <w:rFonts w:hint="eastAsia" w:eastAsia="宋体"/>
          <w:color w:val="auto"/>
          <w:sz w:val="20"/>
          <w:szCs w:val="20"/>
          <w:lang w:val="en-US" w:eastAsia="zh-CN"/>
        </w:rPr>
        <w:t>for the simultaneous reception of of L1 measurement. In fact two cases are included:</w:t>
      </w:r>
    </w:p>
    <w:p>
      <w:pPr>
        <w:pStyle w:val="8"/>
        <w:numPr>
          <w:ilvl w:val="0"/>
          <w:numId w:val="5"/>
        </w:numPr>
        <w:tabs>
          <w:tab w:val="left" w:pos="226"/>
          <w:tab w:val="left" w:pos="284"/>
          <w:tab w:val="left" w:pos="5103"/>
          <w:tab w:val="clear" w:pos="0"/>
        </w:tabs>
        <w:snapToGrid w:val="0"/>
        <w:spacing w:before="156" w:beforeLines="50"/>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 xml:space="preserve">  Case 1: simultaneous L1 RS + L1 RS(for L1 measurement restriction relaxation)</w:t>
      </w:r>
    </w:p>
    <w:p>
      <w:pPr>
        <w:pStyle w:val="8"/>
        <w:numPr>
          <w:ilvl w:val="0"/>
          <w:numId w:val="5"/>
        </w:numPr>
        <w:tabs>
          <w:tab w:val="left" w:pos="226"/>
          <w:tab w:val="left" w:pos="284"/>
          <w:tab w:val="left" w:pos="5103"/>
          <w:tab w:val="clear" w:pos="0"/>
        </w:tabs>
        <w:snapToGrid w:val="0"/>
        <w:spacing w:before="156" w:beforeLines="50"/>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 xml:space="preserve">  </w:t>
      </w:r>
      <w:r>
        <w:rPr>
          <w:rFonts w:hint="default" w:eastAsia="宋体"/>
          <w:color w:val="auto"/>
          <w:sz w:val="20"/>
          <w:szCs w:val="20"/>
          <w:lang w:val="en-US" w:eastAsia="zh-CN"/>
        </w:rPr>
        <w:t xml:space="preserve">Case </w:t>
      </w:r>
      <w:r>
        <w:rPr>
          <w:rFonts w:hint="eastAsia" w:eastAsia="宋体"/>
          <w:color w:val="auto"/>
          <w:sz w:val="20"/>
          <w:szCs w:val="20"/>
          <w:lang w:val="en-US" w:eastAsia="zh-CN"/>
        </w:rPr>
        <w:t>2</w:t>
      </w:r>
      <w:r>
        <w:rPr>
          <w:rFonts w:hint="default" w:eastAsia="宋体"/>
          <w:color w:val="auto"/>
          <w:sz w:val="20"/>
          <w:szCs w:val="20"/>
          <w:lang w:val="en-US" w:eastAsia="zh-CN"/>
        </w:rPr>
        <w:t xml:space="preserve">: simultaneous </w:t>
      </w:r>
      <w:r>
        <w:rPr>
          <w:rFonts w:hint="eastAsia" w:eastAsia="宋体"/>
          <w:color w:val="auto"/>
          <w:sz w:val="20"/>
          <w:szCs w:val="20"/>
          <w:lang w:val="en-US" w:eastAsia="zh-CN"/>
        </w:rPr>
        <w:t xml:space="preserve">L1 </w:t>
      </w:r>
      <w:r>
        <w:rPr>
          <w:rFonts w:hint="default" w:eastAsia="宋体"/>
          <w:color w:val="auto"/>
          <w:sz w:val="20"/>
          <w:szCs w:val="20"/>
          <w:lang w:val="en-US" w:eastAsia="zh-CN"/>
        </w:rPr>
        <w:t>RS + data</w:t>
      </w:r>
      <w:r>
        <w:rPr>
          <w:rFonts w:hint="eastAsia" w:eastAsia="宋体"/>
          <w:color w:val="auto"/>
          <w:sz w:val="20"/>
          <w:szCs w:val="20"/>
          <w:lang w:val="en-US" w:eastAsia="zh-CN"/>
        </w:rPr>
        <w:t>(</w:t>
      </w:r>
      <w:r>
        <w:rPr>
          <w:rFonts w:hint="default" w:eastAsia="宋体"/>
          <w:color w:val="auto"/>
          <w:sz w:val="20"/>
          <w:szCs w:val="20"/>
          <w:lang w:val="en-US" w:eastAsia="zh-CN"/>
        </w:rPr>
        <w:t>for scheduling availability enhancement</w:t>
      </w:r>
      <w:r>
        <w:rPr>
          <w:rFonts w:hint="eastAsia" w:eastAsia="宋体"/>
          <w:color w:val="auto"/>
          <w:sz w:val="20"/>
          <w:szCs w:val="20"/>
          <w:lang w:val="en-US" w:eastAsia="zh-CN"/>
        </w:rPr>
        <w:t>)</w:t>
      </w:r>
    </w:p>
    <w:p>
      <w:pPr>
        <w:pStyle w:val="8"/>
        <w:numPr>
          <w:ilvl w:val="0"/>
          <w:numId w:val="0"/>
        </w:numPr>
        <w:tabs>
          <w:tab w:val="left" w:pos="226"/>
          <w:tab w:val="left" w:pos="284"/>
          <w:tab w:val="left" w:pos="5103"/>
        </w:tabs>
        <w:snapToGrid w:val="0"/>
        <w:spacing w:before="156" w:beforeLines="50"/>
        <w:ind w:leftChars="0"/>
        <w:rPr>
          <w:rFonts w:hint="eastAsia" w:eastAsia="宋体"/>
          <w:color w:val="auto"/>
          <w:sz w:val="20"/>
          <w:szCs w:val="20"/>
          <w:lang w:val="en-US" w:eastAsia="zh-CN"/>
        </w:rPr>
      </w:pPr>
      <w:r>
        <w:rPr>
          <w:rFonts w:hint="eastAsia" w:eastAsia="宋体"/>
          <w:color w:val="auto"/>
          <w:sz w:val="20"/>
          <w:szCs w:val="20"/>
          <w:lang w:val="en-US" w:eastAsia="zh-CN"/>
        </w:rPr>
        <w:t xml:space="preserve">Comparing the two cases, to our understanding, the support of Case 2 needs more consideration as it involves data processing in base band, whereas Case 1 is all about measurement. So it is better to introduce two individual UE capabilities referring to the two cases respectively. </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Proposal 4: Introducing two individual UE capabilities for the supporting of simultaneous L1 RS+L1 RS and L1 RS+data respectively.</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xml:space="preserve">, we have the following </w:t>
      </w:r>
      <w:r>
        <w:rPr>
          <w:rFonts w:hint="eastAsia" w:eastAsia="宋体"/>
          <w:bCs/>
          <w:color w:val="auto"/>
          <w:sz w:val="20"/>
          <w:szCs w:val="20"/>
          <w:lang w:val="en-US" w:eastAsia="zh-CN"/>
        </w:rPr>
        <w:t xml:space="preserve">observation and </w:t>
      </w:r>
      <w:r>
        <w:rPr>
          <w:rFonts w:eastAsia="宋体"/>
          <w:bCs/>
          <w:color w:val="auto"/>
          <w:sz w:val="20"/>
          <w:szCs w:val="20"/>
          <w:lang w:val="en-GB" w:eastAsia="zh-CN"/>
        </w:rPr>
        <w:t>proposals</w:t>
      </w:r>
      <w:r>
        <w:rPr>
          <w:rFonts w:hint="eastAsia" w:eastAsia="宋体"/>
          <w:bCs/>
          <w:color w:val="auto"/>
          <w:sz w:val="20"/>
          <w:szCs w:val="20"/>
          <w:lang w:val="en-US" w:eastAsia="zh-CN"/>
        </w:rPr>
        <w:t xml:space="preserve"> around general RRM aspects for simultaneous DL reception from different directions</w:t>
      </w:r>
      <w:r>
        <w:rPr>
          <w:rFonts w:eastAsia="宋体"/>
          <w:bCs/>
          <w:color w:val="auto"/>
          <w:sz w:val="20"/>
          <w:szCs w:val="20"/>
          <w:lang w:val="en-GB" w:eastAsia="zh-CN"/>
        </w:rPr>
        <w:t>:</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 xml:space="preserve">Proposal 1: When the condition of multi-Rx becomes violated during measurement, at least UE can continue the on-going L1 measurement. </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When the condition of multi-Rx becomes violated during measurement, the measurement/scheduling restriction relaxation is not allowed any more.</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When the condition of multi-Rx becomes violated during measurement, whether the requirements of L1 measurement period should be relaxed, depending on the final identified L1 measurement period requirements. If fast beam sweeping is applied during L1 measurement, then the condition and implementation of fast beam sweeping would impact the decision.</w:t>
      </w:r>
    </w:p>
    <w:p>
      <w:pPr>
        <w:pStyle w:val="8"/>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4: Introducing two individual UE capabilities for the supporting of simultaneous L1 RS+L1 RS and L1 RS+data respectively.</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6"/>
        </w:numPr>
        <w:ind w:leftChars="0"/>
        <w:rPr>
          <w:rFonts w:hint="eastAsia"/>
          <w:color w:val="auto"/>
          <w:highlight w:val="none"/>
          <w:lang w:val="en-US" w:eastAsia="zh-CN"/>
        </w:rPr>
      </w:pPr>
      <w:r>
        <w:rPr>
          <w:rFonts w:hint="eastAsia"/>
          <w:color w:val="auto"/>
          <w:highlight w:val="none"/>
          <w:lang w:val="en-US" w:eastAsia="zh-CN"/>
        </w:rPr>
        <w:t xml:space="preserve">R4-2317332 </w:t>
      </w:r>
      <w:r>
        <w:rPr>
          <w:rFonts w:hint="default"/>
          <w:color w:val="auto"/>
          <w:highlight w:val="none"/>
          <w:lang w:val="en-US" w:eastAsia="zh-CN"/>
        </w:rPr>
        <w:t>“</w:t>
      </w:r>
      <w:r>
        <w:rPr>
          <w:rFonts w:hint="eastAsia"/>
          <w:color w:val="auto"/>
          <w:highlight w:val="none"/>
          <w:lang w:val="en-US" w:eastAsia="zh-CN"/>
        </w:rPr>
        <w:t>WF on NR FR2 multi-Rx chain DL reception RRM requirements (part 1)</w:t>
      </w:r>
      <w:r>
        <w:rPr>
          <w:rFonts w:hint="default"/>
          <w:color w:val="auto"/>
          <w:highlight w:val="none"/>
          <w:lang w:val="en-US" w:eastAsia="zh-CN"/>
        </w:rPr>
        <w:t>”</w:t>
      </w:r>
      <w:r>
        <w:rPr>
          <w:rFonts w:hint="eastAsia"/>
          <w:color w:val="auto"/>
          <w:highlight w:val="none"/>
          <w:lang w:val="en-US" w:eastAsia="zh-CN"/>
        </w:rPr>
        <w:t>, vivo.</w:t>
      </w:r>
    </w:p>
    <w:p>
      <w:pPr>
        <w:pStyle w:val="9"/>
        <w:numPr>
          <w:ilvl w:val="0"/>
          <w:numId w:val="6"/>
        </w:numPr>
        <w:ind w:leftChars="0"/>
        <w:rPr>
          <w:rFonts w:hint="eastAsia"/>
          <w:color w:val="auto"/>
          <w:highlight w:val="none"/>
          <w:lang w:val="en-US" w:eastAsia="zh-CN"/>
        </w:rPr>
      </w:pPr>
      <w:r>
        <w:rPr>
          <w:rFonts w:hint="eastAsia"/>
          <w:color w:val="auto"/>
          <w:highlight w:val="none"/>
          <w:lang w:val="en-US" w:eastAsia="zh-CN"/>
        </w:rPr>
        <w:t xml:space="preserve">R4-2306318 </w:t>
      </w:r>
      <w:r>
        <w:rPr>
          <w:rFonts w:hint="default"/>
          <w:color w:val="auto"/>
          <w:highlight w:val="none"/>
          <w:lang w:val="en-US" w:eastAsia="zh-CN"/>
        </w:rPr>
        <w:t>“</w:t>
      </w:r>
      <w:r>
        <w:rPr>
          <w:rFonts w:hint="eastAsia"/>
          <w:color w:val="auto"/>
          <w:highlight w:val="none"/>
          <w:lang w:val="en-US" w:eastAsia="zh-CN"/>
        </w:rPr>
        <w:t>WF on NR FR2 multi-Rx chain DL reception RRM requirements (part 1)</w:t>
      </w:r>
      <w:r>
        <w:rPr>
          <w:rFonts w:hint="default"/>
          <w:color w:val="auto"/>
          <w:highlight w:val="none"/>
          <w:lang w:val="en-US" w:eastAsia="zh-CN"/>
        </w:rPr>
        <w:t>”</w:t>
      </w:r>
      <w:r>
        <w:rPr>
          <w:rFonts w:hint="eastAsia"/>
          <w:color w:val="auto"/>
          <w:highlight w:val="none"/>
          <w:lang w:val="en-US" w:eastAsia="zh-CN"/>
        </w:rPr>
        <w:t>, vivo.</w:t>
      </w:r>
    </w:p>
    <w:p>
      <w:pPr>
        <w:pStyle w:val="9"/>
        <w:numPr>
          <w:ilvl w:val="0"/>
          <w:numId w:val="0"/>
        </w:numPr>
        <w:ind w:leftChars="0"/>
        <w:rPr>
          <w:rFonts w:hint="default"/>
          <w:color w:val="auto"/>
          <w:lang w:val="en-US" w:eastAsia="zh-CN"/>
        </w:rPr>
      </w:pPr>
    </w:p>
    <w:p>
      <w:pPr>
        <w:pStyle w:val="9"/>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E5EB3A"/>
    <w:multiLevelType w:val="singleLevel"/>
    <w:tmpl w:val="A8E5EB3A"/>
    <w:lvl w:ilvl="0" w:tentative="0">
      <w:start w:val="1"/>
      <w:numFmt w:val="decimal"/>
      <w:suff w:val="space"/>
      <w:lvlText w:val="[%1]"/>
      <w:lvlJc w:val="left"/>
    </w:lvl>
  </w:abstractNum>
  <w:abstractNum w:abstractNumId="1">
    <w:nsid w:val="EFCBB563"/>
    <w:multiLevelType w:val="singleLevel"/>
    <w:tmpl w:val="EFCBB563"/>
    <w:lvl w:ilvl="0" w:tentative="0">
      <w:start w:val="1"/>
      <w:numFmt w:val="bullet"/>
      <w:lvlText w:val=""/>
      <w:lvlJc w:val="left"/>
      <w:pPr>
        <w:tabs>
          <w:tab w:val="left" w:pos="0"/>
        </w:tabs>
        <w:ind w:left="420" w:hanging="420"/>
      </w:pPr>
      <w:rPr>
        <w:rFonts w:hint="default" w:ascii="Wingdings" w:hAnsi="Wingdings"/>
      </w:rPr>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pStyle w:val="58"/>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5">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5"/>
  </w:num>
  <w:num w:numId="2">
    <w:abstractNumId w:val="3"/>
  </w:num>
  <w:num w:numId="3">
    <w:abstractNumId w:val="4"/>
  </w:num>
  <w:num w:numId="4">
    <w:abstractNumId w:val="2"/>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37CE"/>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2EA"/>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6F004C"/>
    <w:rsid w:val="02122247"/>
    <w:rsid w:val="02150C3F"/>
    <w:rsid w:val="022C3A09"/>
    <w:rsid w:val="028B6A1D"/>
    <w:rsid w:val="028F1C3E"/>
    <w:rsid w:val="037D0CB3"/>
    <w:rsid w:val="03D4720A"/>
    <w:rsid w:val="03E04DEA"/>
    <w:rsid w:val="04151694"/>
    <w:rsid w:val="04654053"/>
    <w:rsid w:val="04793516"/>
    <w:rsid w:val="047A3CFF"/>
    <w:rsid w:val="04885243"/>
    <w:rsid w:val="05317828"/>
    <w:rsid w:val="05477E90"/>
    <w:rsid w:val="05BB5AB9"/>
    <w:rsid w:val="05C42923"/>
    <w:rsid w:val="05F562DB"/>
    <w:rsid w:val="06963BA6"/>
    <w:rsid w:val="06965F3C"/>
    <w:rsid w:val="07CD3CDD"/>
    <w:rsid w:val="084B363C"/>
    <w:rsid w:val="0855671D"/>
    <w:rsid w:val="089009EB"/>
    <w:rsid w:val="09716BCA"/>
    <w:rsid w:val="098C1CEA"/>
    <w:rsid w:val="09D64B23"/>
    <w:rsid w:val="09E644B8"/>
    <w:rsid w:val="0A383F61"/>
    <w:rsid w:val="0B12013A"/>
    <w:rsid w:val="0B1C5C6A"/>
    <w:rsid w:val="0B243EFB"/>
    <w:rsid w:val="0B3D3C2F"/>
    <w:rsid w:val="0B5D15B4"/>
    <w:rsid w:val="0B6204CF"/>
    <w:rsid w:val="0BAC06FA"/>
    <w:rsid w:val="0BB0429A"/>
    <w:rsid w:val="0BFF5FC6"/>
    <w:rsid w:val="0C276675"/>
    <w:rsid w:val="0C394019"/>
    <w:rsid w:val="0EC91588"/>
    <w:rsid w:val="0F6C0B73"/>
    <w:rsid w:val="0F8009F9"/>
    <w:rsid w:val="10997F43"/>
    <w:rsid w:val="10DE7BAE"/>
    <w:rsid w:val="11023BFD"/>
    <w:rsid w:val="110404BB"/>
    <w:rsid w:val="111C20F6"/>
    <w:rsid w:val="11DD2CBB"/>
    <w:rsid w:val="11ED345F"/>
    <w:rsid w:val="120774A3"/>
    <w:rsid w:val="12580C13"/>
    <w:rsid w:val="130B3696"/>
    <w:rsid w:val="14006D19"/>
    <w:rsid w:val="1414436B"/>
    <w:rsid w:val="1481754F"/>
    <w:rsid w:val="148F5721"/>
    <w:rsid w:val="14AC57CD"/>
    <w:rsid w:val="14B9644E"/>
    <w:rsid w:val="15ED3E9B"/>
    <w:rsid w:val="164514BE"/>
    <w:rsid w:val="16E8141E"/>
    <w:rsid w:val="170F06AA"/>
    <w:rsid w:val="17225508"/>
    <w:rsid w:val="17B52E39"/>
    <w:rsid w:val="180A6E32"/>
    <w:rsid w:val="183F2CD2"/>
    <w:rsid w:val="1856323E"/>
    <w:rsid w:val="188D6BB6"/>
    <w:rsid w:val="18AF55E3"/>
    <w:rsid w:val="18B1519A"/>
    <w:rsid w:val="18CD0507"/>
    <w:rsid w:val="19561039"/>
    <w:rsid w:val="195D7D48"/>
    <w:rsid w:val="19852D03"/>
    <w:rsid w:val="1A6F1A83"/>
    <w:rsid w:val="1AD01A1B"/>
    <w:rsid w:val="1B4C5221"/>
    <w:rsid w:val="1B61065A"/>
    <w:rsid w:val="1B940E5A"/>
    <w:rsid w:val="1BBF3927"/>
    <w:rsid w:val="1C177B08"/>
    <w:rsid w:val="1C644189"/>
    <w:rsid w:val="1C9001C6"/>
    <w:rsid w:val="1CBA2101"/>
    <w:rsid w:val="1D0573D7"/>
    <w:rsid w:val="1D153DC4"/>
    <w:rsid w:val="1D223E0B"/>
    <w:rsid w:val="1D3A54CD"/>
    <w:rsid w:val="1DF33EB1"/>
    <w:rsid w:val="1E132F88"/>
    <w:rsid w:val="1E2867E9"/>
    <w:rsid w:val="1E853F6F"/>
    <w:rsid w:val="1E9C7BCC"/>
    <w:rsid w:val="1ECC1E3C"/>
    <w:rsid w:val="1F5B4632"/>
    <w:rsid w:val="1FFD4083"/>
    <w:rsid w:val="20013E13"/>
    <w:rsid w:val="20122D1B"/>
    <w:rsid w:val="202F3D4C"/>
    <w:rsid w:val="206F1E13"/>
    <w:rsid w:val="20E2786E"/>
    <w:rsid w:val="21014C39"/>
    <w:rsid w:val="21045DF0"/>
    <w:rsid w:val="21244EB1"/>
    <w:rsid w:val="213964D8"/>
    <w:rsid w:val="21595D04"/>
    <w:rsid w:val="21835807"/>
    <w:rsid w:val="21F13629"/>
    <w:rsid w:val="22AF59B6"/>
    <w:rsid w:val="2305377E"/>
    <w:rsid w:val="231A76D5"/>
    <w:rsid w:val="23BE460D"/>
    <w:rsid w:val="24122135"/>
    <w:rsid w:val="24A72551"/>
    <w:rsid w:val="24D4257E"/>
    <w:rsid w:val="24DC3855"/>
    <w:rsid w:val="24F5519F"/>
    <w:rsid w:val="25362D8A"/>
    <w:rsid w:val="2572202B"/>
    <w:rsid w:val="25AE612B"/>
    <w:rsid w:val="2605683C"/>
    <w:rsid w:val="26661176"/>
    <w:rsid w:val="26672AC5"/>
    <w:rsid w:val="26BB1419"/>
    <w:rsid w:val="27315D1D"/>
    <w:rsid w:val="27B748AA"/>
    <w:rsid w:val="27CB4CB9"/>
    <w:rsid w:val="27CC4452"/>
    <w:rsid w:val="281C2F58"/>
    <w:rsid w:val="28CD5B2D"/>
    <w:rsid w:val="292D5BF2"/>
    <w:rsid w:val="292F6239"/>
    <w:rsid w:val="29642C4B"/>
    <w:rsid w:val="29A66B9A"/>
    <w:rsid w:val="29B35277"/>
    <w:rsid w:val="2A34628C"/>
    <w:rsid w:val="2A724D05"/>
    <w:rsid w:val="2A7E505C"/>
    <w:rsid w:val="2AC85686"/>
    <w:rsid w:val="2AD04B5F"/>
    <w:rsid w:val="2B39549B"/>
    <w:rsid w:val="2BC05B2C"/>
    <w:rsid w:val="2BD617C5"/>
    <w:rsid w:val="2C112837"/>
    <w:rsid w:val="2C360608"/>
    <w:rsid w:val="2E014790"/>
    <w:rsid w:val="2EAE66A3"/>
    <w:rsid w:val="2EE77680"/>
    <w:rsid w:val="2F2F0FC8"/>
    <w:rsid w:val="2F591020"/>
    <w:rsid w:val="2F8E63A4"/>
    <w:rsid w:val="301C6BB6"/>
    <w:rsid w:val="30723652"/>
    <w:rsid w:val="30766FB2"/>
    <w:rsid w:val="312654EA"/>
    <w:rsid w:val="31565660"/>
    <w:rsid w:val="319708F2"/>
    <w:rsid w:val="31B14C9E"/>
    <w:rsid w:val="31E00A6C"/>
    <w:rsid w:val="31FE2981"/>
    <w:rsid w:val="32545CB6"/>
    <w:rsid w:val="33C522D7"/>
    <w:rsid w:val="33D97FA6"/>
    <w:rsid w:val="33F228A5"/>
    <w:rsid w:val="347C19A0"/>
    <w:rsid w:val="34807672"/>
    <w:rsid w:val="351B1E30"/>
    <w:rsid w:val="351D459F"/>
    <w:rsid w:val="358E5935"/>
    <w:rsid w:val="35B06C6A"/>
    <w:rsid w:val="36941AA2"/>
    <w:rsid w:val="36B46C09"/>
    <w:rsid w:val="36D37423"/>
    <w:rsid w:val="379D23F9"/>
    <w:rsid w:val="37E74183"/>
    <w:rsid w:val="38230E9D"/>
    <w:rsid w:val="3A185287"/>
    <w:rsid w:val="3A1F46B8"/>
    <w:rsid w:val="3A495290"/>
    <w:rsid w:val="3A692CD0"/>
    <w:rsid w:val="3B270929"/>
    <w:rsid w:val="3B3D5571"/>
    <w:rsid w:val="3B5D276F"/>
    <w:rsid w:val="3B673620"/>
    <w:rsid w:val="3B9A1F29"/>
    <w:rsid w:val="3CA83595"/>
    <w:rsid w:val="3CE4646B"/>
    <w:rsid w:val="3D5E7AA8"/>
    <w:rsid w:val="3D6F2596"/>
    <w:rsid w:val="3F5E503E"/>
    <w:rsid w:val="405F175E"/>
    <w:rsid w:val="40737877"/>
    <w:rsid w:val="407D705A"/>
    <w:rsid w:val="40A811A8"/>
    <w:rsid w:val="40C765F3"/>
    <w:rsid w:val="41B8634B"/>
    <w:rsid w:val="41C755BE"/>
    <w:rsid w:val="42424160"/>
    <w:rsid w:val="427919DF"/>
    <w:rsid w:val="42A01CD1"/>
    <w:rsid w:val="42B16B47"/>
    <w:rsid w:val="42F869D2"/>
    <w:rsid w:val="433D4368"/>
    <w:rsid w:val="43553536"/>
    <w:rsid w:val="438A79C8"/>
    <w:rsid w:val="44972678"/>
    <w:rsid w:val="44C465F8"/>
    <w:rsid w:val="451632B9"/>
    <w:rsid w:val="45906394"/>
    <w:rsid w:val="45D40A2F"/>
    <w:rsid w:val="45F60A50"/>
    <w:rsid w:val="46142D0C"/>
    <w:rsid w:val="46151904"/>
    <w:rsid w:val="463A5AC1"/>
    <w:rsid w:val="46970A81"/>
    <w:rsid w:val="46B036BF"/>
    <w:rsid w:val="46EE1939"/>
    <w:rsid w:val="47282363"/>
    <w:rsid w:val="476B3528"/>
    <w:rsid w:val="47C726B0"/>
    <w:rsid w:val="47EC7B96"/>
    <w:rsid w:val="485C7C16"/>
    <w:rsid w:val="489C691C"/>
    <w:rsid w:val="49DC4EAC"/>
    <w:rsid w:val="49E55BC5"/>
    <w:rsid w:val="4B9C7CDF"/>
    <w:rsid w:val="4C1C63D6"/>
    <w:rsid w:val="4C864A35"/>
    <w:rsid w:val="4E015C76"/>
    <w:rsid w:val="4E1A3FA5"/>
    <w:rsid w:val="4E310026"/>
    <w:rsid w:val="4E4A2325"/>
    <w:rsid w:val="4E702749"/>
    <w:rsid w:val="4EC85323"/>
    <w:rsid w:val="4EDB3464"/>
    <w:rsid w:val="501A6C55"/>
    <w:rsid w:val="51234069"/>
    <w:rsid w:val="51B14BED"/>
    <w:rsid w:val="52526454"/>
    <w:rsid w:val="525C1CEF"/>
    <w:rsid w:val="528B5767"/>
    <w:rsid w:val="52A77D4F"/>
    <w:rsid w:val="52D33625"/>
    <w:rsid w:val="52FD1C01"/>
    <w:rsid w:val="52FD33B4"/>
    <w:rsid w:val="536E37BE"/>
    <w:rsid w:val="5372021A"/>
    <w:rsid w:val="53A3105E"/>
    <w:rsid w:val="53C64B93"/>
    <w:rsid w:val="548A6C60"/>
    <w:rsid w:val="54E07F19"/>
    <w:rsid w:val="551F20A6"/>
    <w:rsid w:val="55B1164D"/>
    <w:rsid w:val="55B4735E"/>
    <w:rsid w:val="55BB221D"/>
    <w:rsid w:val="56371459"/>
    <w:rsid w:val="56484633"/>
    <w:rsid w:val="569D39ED"/>
    <w:rsid w:val="574B3EB2"/>
    <w:rsid w:val="58D0053D"/>
    <w:rsid w:val="58F67DF5"/>
    <w:rsid w:val="59064002"/>
    <w:rsid w:val="59745E07"/>
    <w:rsid w:val="598C40A0"/>
    <w:rsid w:val="59930B2E"/>
    <w:rsid w:val="59DA647E"/>
    <w:rsid w:val="5A556E1A"/>
    <w:rsid w:val="5B9464DF"/>
    <w:rsid w:val="5C1166E3"/>
    <w:rsid w:val="5E2864D0"/>
    <w:rsid w:val="5E494511"/>
    <w:rsid w:val="5E7C0F18"/>
    <w:rsid w:val="5EB44FC0"/>
    <w:rsid w:val="5EB81F13"/>
    <w:rsid w:val="5EDA64BC"/>
    <w:rsid w:val="5F207F65"/>
    <w:rsid w:val="5F6666BE"/>
    <w:rsid w:val="5FBA395F"/>
    <w:rsid w:val="60B92183"/>
    <w:rsid w:val="60EC2CBA"/>
    <w:rsid w:val="61661B78"/>
    <w:rsid w:val="618636C8"/>
    <w:rsid w:val="61CC2D28"/>
    <w:rsid w:val="62DE3B93"/>
    <w:rsid w:val="630C63B9"/>
    <w:rsid w:val="63454F29"/>
    <w:rsid w:val="635902CD"/>
    <w:rsid w:val="642A3E76"/>
    <w:rsid w:val="645814EE"/>
    <w:rsid w:val="645E1DDB"/>
    <w:rsid w:val="64706BBE"/>
    <w:rsid w:val="64F2095B"/>
    <w:rsid w:val="65267327"/>
    <w:rsid w:val="65D63F94"/>
    <w:rsid w:val="66036AF7"/>
    <w:rsid w:val="66850BFA"/>
    <w:rsid w:val="67594709"/>
    <w:rsid w:val="67A858DB"/>
    <w:rsid w:val="67FE4166"/>
    <w:rsid w:val="68AD2162"/>
    <w:rsid w:val="68C401C3"/>
    <w:rsid w:val="69045D7F"/>
    <w:rsid w:val="693027BF"/>
    <w:rsid w:val="6968769B"/>
    <w:rsid w:val="696C5A1D"/>
    <w:rsid w:val="69831B57"/>
    <w:rsid w:val="698E7A9D"/>
    <w:rsid w:val="69A833BD"/>
    <w:rsid w:val="69FB3F8F"/>
    <w:rsid w:val="6A5D78D5"/>
    <w:rsid w:val="6A85354A"/>
    <w:rsid w:val="6B891BF1"/>
    <w:rsid w:val="6BE46C6E"/>
    <w:rsid w:val="6C5B584F"/>
    <w:rsid w:val="6C8E0C06"/>
    <w:rsid w:val="6CD1716B"/>
    <w:rsid w:val="6D566F0F"/>
    <w:rsid w:val="6D7A1775"/>
    <w:rsid w:val="6D836F72"/>
    <w:rsid w:val="6DC2026F"/>
    <w:rsid w:val="6DDE3DAF"/>
    <w:rsid w:val="6E281030"/>
    <w:rsid w:val="6E2C7D5B"/>
    <w:rsid w:val="6E3241BE"/>
    <w:rsid w:val="6EB97A9D"/>
    <w:rsid w:val="6EC82818"/>
    <w:rsid w:val="6EF10A90"/>
    <w:rsid w:val="6F9621E0"/>
    <w:rsid w:val="6FC2089A"/>
    <w:rsid w:val="6FD45BF8"/>
    <w:rsid w:val="6FFF1868"/>
    <w:rsid w:val="70332195"/>
    <w:rsid w:val="712150A0"/>
    <w:rsid w:val="71507435"/>
    <w:rsid w:val="715F4C2D"/>
    <w:rsid w:val="721C3FA1"/>
    <w:rsid w:val="722F78FB"/>
    <w:rsid w:val="723D67C5"/>
    <w:rsid w:val="7244013B"/>
    <w:rsid w:val="7250627B"/>
    <w:rsid w:val="72BF60CA"/>
    <w:rsid w:val="72F41282"/>
    <w:rsid w:val="733D0D32"/>
    <w:rsid w:val="73D411F1"/>
    <w:rsid w:val="74165422"/>
    <w:rsid w:val="753811DE"/>
    <w:rsid w:val="75647498"/>
    <w:rsid w:val="7566040A"/>
    <w:rsid w:val="757733D9"/>
    <w:rsid w:val="75A7114C"/>
    <w:rsid w:val="75BE67D4"/>
    <w:rsid w:val="75C2004C"/>
    <w:rsid w:val="75C759C1"/>
    <w:rsid w:val="760F5DAE"/>
    <w:rsid w:val="762D64F3"/>
    <w:rsid w:val="766B6FB4"/>
    <w:rsid w:val="767E7EFF"/>
    <w:rsid w:val="76A9299C"/>
    <w:rsid w:val="775B4604"/>
    <w:rsid w:val="77C067C3"/>
    <w:rsid w:val="77EA64D7"/>
    <w:rsid w:val="782347DB"/>
    <w:rsid w:val="78911E31"/>
    <w:rsid w:val="7922350F"/>
    <w:rsid w:val="792B5470"/>
    <w:rsid w:val="79B2715A"/>
    <w:rsid w:val="79C637D8"/>
    <w:rsid w:val="7A9367CB"/>
    <w:rsid w:val="7AA10DE7"/>
    <w:rsid w:val="7AD3168F"/>
    <w:rsid w:val="7AF22571"/>
    <w:rsid w:val="7B69224B"/>
    <w:rsid w:val="7BE80F25"/>
    <w:rsid w:val="7C1C35A7"/>
    <w:rsid w:val="7C45431D"/>
    <w:rsid w:val="7C952974"/>
    <w:rsid w:val="7D243E1C"/>
    <w:rsid w:val="7D3219D5"/>
    <w:rsid w:val="7D734AA7"/>
    <w:rsid w:val="7DDD0501"/>
    <w:rsid w:val="7DE51372"/>
    <w:rsid w:val="7E5E590F"/>
    <w:rsid w:val="7E935AFB"/>
    <w:rsid w:val="7F2B7B96"/>
    <w:rsid w:val="7FC90A85"/>
    <w:rsid w:val="7FD02878"/>
    <w:rsid w:val="7FF73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2"/>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49"/>
    <w:unhideWhenUsed/>
    <w:qFormat/>
    <w:uiPriority w:val="9"/>
    <w:pPr>
      <w:keepNext/>
      <w:keepLines/>
      <w:spacing w:before="260" w:after="260" w:line="416" w:lineRule="auto"/>
      <w:outlineLvl w:val="2"/>
    </w:pPr>
    <w:rPr>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29"/>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3"/>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6"/>
    <w:semiHidden/>
    <w:unhideWhenUsed/>
    <w:qFormat/>
    <w:uiPriority w:val="99"/>
    <w:pPr>
      <w:ind w:left="100" w:leftChars="2500"/>
    </w:pPr>
  </w:style>
  <w:style w:type="paragraph" w:styleId="12">
    <w:name w:val="Balloon Text"/>
    <w:basedOn w:val="1"/>
    <w:link w:val="27"/>
    <w:semiHidden/>
    <w:unhideWhenUsed/>
    <w:qFormat/>
    <w:uiPriority w:val="99"/>
    <w:rPr>
      <w:sz w:val="18"/>
      <w:szCs w:val="18"/>
      <w:lang w:val="zh-CN"/>
    </w:rPr>
  </w:style>
  <w:style w:type="paragraph" w:styleId="13">
    <w:name w:val="footer"/>
    <w:basedOn w:val="1"/>
    <w:link w:val="26"/>
    <w:unhideWhenUsed/>
    <w:qFormat/>
    <w:uiPriority w:val="99"/>
    <w:pPr>
      <w:tabs>
        <w:tab w:val="center" w:pos="4153"/>
        <w:tab w:val="right" w:pos="8306"/>
      </w:tabs>
      <w:snapToGrid w:val="0"/>
    </w:pPr>
    <w:rPr>
      <w:sz w:val="18"/>
      <w:szCs w:val="18"/>
      <w:lang w:val="zh-CN"/>
    </w:rPr>
  </w:style>
  <w:style w:type="paragraph" w:styleId="14">
    <w:name w:val="header"/>
    <w:basedOn w:val="1"/>
    <w:link w:val="24"/>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4"/>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3"/>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6"/>
    <w:semiHidden/>
    <w:qFormat/>
    <w:uiPriority w:val="99"/>
    <w:rPr>
      <w:rFonts w:ascii="宋体" w:hAnsi="Times New Roman"/>
      <w:sz w:val="18"/>
      <w:szCs w:val="18"/>
      <w:lang w:eastAsia="en-US"/>
    </w:rPr>
  </w:style>
  <w:style w:type="paragraph" w:customStyle="1" w:styleId="30">
    <w:name w:val="B1"/>
    <w:basedOn w:val="10"/>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5"/>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1"/>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4"/>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8"/>
    <w:qFormat/>
    <w:uiPriority w:val="0"/>
  </w:style>
  <w:style w:type="character" w:customStyle="1" w:styleId="54">
    <w:name w:val="eop"/>
    <w:basedOn w:val="18"/>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7">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8">
    <w:name w:val="样式3"/>
    <w:basedOn w:val="28"/>
    <w:qFormat/>
    <w:uiPriority w:val="0"/>
    <w:pPr>
      <w:numPr>
        <w:ilvl w:val="1"/>
        <w:numId w:val="3"/>
      </w:numPr>
      <w:spacing w:after="120"/>
      <w:ind w:firstLine="0"/>
    </w:pPr>
    <w:rPr>
      <w:rFonts w:ascii="Times New Roman" w:hAnsi="Times New Roman" w:eastAsia="宋体" w:cs="Times New Roman"/>
      <w:sz w:val="20"/>
      <w:szCs w:val="24"/>
      <w:lang w:val="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2023-11-03T16:17:02Z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AE12E00B060A4B598356520CC3E162FF</vt:lpwstr>
  </property>
</Properties>
</file>